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rPr>
      </w:pPr>
      <w:r>
        <w:rPr>
          <w:sz w:val="20"/>
          <w:lang w:bidi="el-GR"/>
        </w:rPr>
        <w:t>Pepco Poland Sp. z o. o.,</w:t>
      </w:r>
    </w:p>
    <w:p w14:paraId="60E9A8B2">
      <w:pPr>
        <w:spacing w:line="240" w:lineRule="auto"/>
        <w:rPr>
          <w:sz w:val="20"/>
          <w:szCs w:val="20"/>
        </w:rPr>
      </w:pPr>
      <w:r>
        <w:rPr>
          <w:sz w:val="20"/>
          <w:lang w:bidi="el-GR"/>
        </w:rPr>
        <w:t>ul Strzeszyńska 73A</w:t>
      </w:r>
    </w:p>
    <w:p w14:paraId="60E9A8B3">
      <w:pPr>
        <w:spacing w:line="240" w:lineRule="auto"/>
        <w:rPr>
          <w:sz w:val="20"/>
          <w:szCs w:val="20"/>
        </w:rPr>
      </w:pPr>
      <w:r>
        <w:rPr>
          <w:sz w:val="20"/>
          <w:lang w:bidi="el-GR"/>
        </w:rPr>
        <w:t>60-479 - 479 Poznań</w:t>
      </w:r>
    </w:p>
    <w:p w14:paraId="60E9A8B4">
      <w:pPr>
        <w:jc w:val="center"/>
      </w:pPr>
    </w:p>
    <w:p w14:paraId="60E9A8B5">
      <w:pPr>
        <w:jc w:val="center"/>
      </w:pPr>
      <w:r>
        <w:rPr>
          <w:b/>
          <w:shd w:val="clear" w:color="auto" w:fill="FFFFFF"/>
          <w:lang w:bidi="el-GR"/>
        </w:rPr>
        <w:t xml:space="preserve">ΔΉΛΩΣΗ ΣΥΜΜΌΡΦΩΣΗΣ ΕΕ </w:t>
      </w:r>
      <w:r>
        <w:rPr>
          <w:lang w:bidi="el-GR"/>
        </w:rPr>
        <w:t xml:space="preserve"> (ΑΡΙΘ.</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el-GR"/>
        </w:rPr>
        <w:t>)</w:t>
      </w:r>
    </w:p>
    <w:p w14:paraId="60E9A8B6">
      <w:pPr>
        <w:jc w:val="center"/>
      </w:pPr>
    </w:p>
    <w:p w14:paraId="60E9A8B7">
      <w:pPr>
        <w:rPr>
          <w:b/>
          <w:bCs/>
        </w:rPr>
      </w:pPr>
      <w:r>
        <w:rPr>
          <w:lang w:bidi="el-GR"/>
        </w:rPr>
        <w:t xml:space="preserve">1. Μέσα ατομικής προστασίας (προϊόν, τύπος, παρτίδα ή σειριακός αριθμός): </w:t>
      </w:r>
    </w:p>
    <w:p w14:paraId="0A062868">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6636FC74"/>
    <w:p w14:paraId="60E9A8BB">
      <w:pPr>
        <w:rPr>
          <w:color w:val="000000"/>
          <w:shd w:val="clear" w:color="auto" w:fill="FFFFFF"/>
        </w:rPr>
      </w:pPr>
      <w:r>
        <w:rPr>
          <w:lang w:bidi="el-GR"/>
        </w:rPr>
        <w:t xml:space="preserve">2. </w:t>
      </w:r>
      <w:r>
        <w:rPr>
          <w:shd w:val="clear" w:color="auto" w:fill="FFFFFF"/>
          <w:lang w:bidi="el-GR"/>
        </w:rPr>
        <w:t>Όνομα και διεύθυνση του κατασκευαστή και, κατά περίπτωση, του εξουσιοδοτημένου αντιπροσώπου του:</w:t>
      </w:r>
    </w:p>
    <w:p w14:paraId="4288685F">
      <w:pPr>
        <w:jc w:val="center"/>
        <w:rPr>
          <w:rFonts w:hint="eastAsia" w:eastAsia="宋体"/>
          <w:b/>
          <w:bCs/>
          <w:lang w:val="en-US" w:eastAsia="zh-CN"/>
        </w:rPr>
      </w:pPr>
      <w:r>
        <w:rPr>
          <w:rFonts w:hint="eastAsia" w:eastAsia="宋体"/>
          <w:b/>
          <w:bCs/>
          <w:lang w:val="en-US" w:eastAsia="zh-CN"/>
        </w:rPr>
        <w:t>Ningbo General Union Co., LTD.</w:t>
      </w:r>
    </w:p>
    <w:p w14:paraId="4BF4EAB3">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36343A3B">
      <w:pPr>
        <w:rPr>
          <w:rFonts w:eastAsia="宋体"/>
          <w:b/>
          <w:bCs/>
          <w:lang w:eastAsia="zh-CN"/>
        </w:rPr>
      </w:pPr>
    </w:p>
    <w:p w14:paraId="60E9A8BE">
      <w:pPr>
        <w:rPr>
          <w:color w:val="000000"/>
          <w:shd w:val="clear" w:color="auto" w:fill="FFFFFF"/>
        </w:rPr>
      </w:pPr>
      <w:r>
        <w:rPr>
          <w:lang w:bidi="el-GR"/>
        </w:rPr>
        <w:t xml:space="preserve">3. </w:t>
      </w:r>
      <w:r>
        <w:rPr>
          <w:shd w:val="clear" w:color="auto" w:fill="FFFFFF"/>
          <w:lang w:bidi="el-GR"/>
        </w:rPr>
        <w:t>Η παρούσα δήλωση συμμόρφωσης εκδόθηκε με αποκλειστική ευθύνη του κατασκευαστή:</w:t>
      </w:r>
    </w:p>
    <w:p w14:paraId="48EB7907">
      <w:pPr>
        <w:jc w:val="center"/>
        <w:rPr>
          <w:rFonts w:hint="eastAsia" w:eastAsia="宋体"/>
          <w:b/>
          <w:bCs/>
          <w:lang w:val="en-US" w:eastAsia="zh-CN"/>
        </w:rPr>
      </w:pPr>
      <w:r>
        <w:rPr>
          <w:rFonts w:hint="eastAsia" w:eastAsia="宋体"/>
          <w:b/>
          <w:bCs/>
          <w:lang w:val="en-US" w:eastAsia="zh-CN"/>
        </w:rPr>
        <w:t>Ningbo General Union Co., LTD.</w:t>
      </w:r>
    </w:p>
    <w:p w14:paraId="41915054">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2FEB0B92">
      <w:pPr>
        <w:rPr>
          <w:rFonts w:eastAsia="宋体"/>
          <w:b/>
          <w:bCs/>
          <w:lang w:eastAsia="zh-CN"/>
        </w:rPr>
      </w:pPr>
    </w:p>
    <w:p w14:paraId="60E9A8C3">
      <w:pPr>
        <w:rPr>
          <w:b/>
          <w:bCs/>
          <w:color w:val="000000"/>
          <w:shd w:val="clear" w:color="auto" w:fill="FFFFFF"/>
          <w:lang w:eastAsia="zh-CN"/>
        </w:rPr>
      </w:pPr>
      <w:r>
        <w:rPr>
          <w:lang w:bidi="el-GR"/>
        </w:rPr>
        <w:t>4. Θέμα της δήλωσης:</w:t>
      </w:r>
    </w:p>
    <w:p w14:paraId="530362FD">
      <w:pPr>
        <w:rPr>
          <w:b/>
          <w:bCs/>
          <w:color w:val="000000"/>
          <w:shd w:val="clear" w:color="auto" w:fill="FFFFFF"/>
          <w:lang w:eastAsia="zh-CN"/>
        </w:rPr>
      </w:pPr>
    </w:p>
    <w:p w14:paraId="709C802B">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7EE78099">
      <w:pPr>
        <w:jc w:val="center"/>
        <w:rPr>
          <w:rFonts w:hint="eastAsia"/>
          <w:color w:val="000000"/>
          <w:shd w:val="clear" w:color="auto" w:fill="FFFFFF"/>
          <w:lang w:val="en-US"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276A44F8">
      <w:pPr>
        <w:rPr>
          <w:b/>
          <w:bCs/>
        </w:rPr>
      </w:pPr>
    </w:p>
    <w:p w14:paraId="60E9A8C4">
      <w:pPr>
        <w:rPr>
          <w:color w:val="000000"/>
          <w:shd w:val="clear" w:color="auto" w:fill="FFFFFF"/>
        </w:rPr>
      </w:pPr>
      <w:r>
        <w:rPr>
          <w:lang w:bidi="el-GR"/>
        </w:rPr>
        <w:t xml:space="preserve">5. </w:t>
      </w:r>
      <w:r>
        <w:rPr>
          <w:shd w:val="clear" w:color="auto" w:fill="FFFFFF"/>
          <w:lang w:bidi="el-GR"/>
        </w:rPr>
        <w:t>Το αντικείμενο της δήλωσης που αναφέρεται στο σημείο 4 είναι σύμφωνο με τη σχετική νομοθεσία εναρμόνισης της ΕΕ:</w:t>
      </w:r>
    </w:p>
    <w:p w14:paraId="60E9A8C5">
      <w:pPr>
        <w:rPr>
          <w:color w:val="000000"/>
          <w:shd w:val="clear" w:color="auto" w:fill="FFFFFF"/>
        </w:rPr>
      </w:pPr>
    </w:p>
    <w:p w14:paraId="60E9A8C6">
      <w:pPr>
        <w:pStyle w:val="9"/>
        <w:numPr>
          <w:ilvl w:val="0"/>
          <w:numId w:val="1"/>
        </w:numPr>
        <w:rPr>
          <w:b/>
        </w:rPr>
      </w:pPr>
      <w:r>
        <w:rPr>
          <w:b/>
          <w:lang w:bidi="el-GR"/>
        </w:rPr>
        <w:t>ΚΑΝΟΝΙΣΜΟΣ (ΕΕ) 2016/425 ΤΟΥ ΕΥΡΩΠΑΪΚΟΥ ΚΟΙΝΟΒΟΥΛΙΟΥ ΚΑΙ ΤΟΥ ΣΥΜΒΟΥΛΙΟΥ της 9ης Μαρτίου 2016 για τα μέσα ατομικής προστασίας και την κατάργηση της οδηγίας 89/686/ΕΟΚ του Συμβουλίου</w:t>
      </w:r>
    </w:p>
    <w:p w14:paraId="60E9A8C7"/>
    <w:p w14:paraId="60E9A8C8">
      <w:r>
        <w:rPr>
          <w:lang w:bidi="el-GR"/>
        </w:rPr>
        <w:t>6.  Παραπομπές στα σχετικά εναρμονισμένα πρότυπα, συμπεριλαμβανομένης της ημερομηνίας του προτύπου, ή παραπομπές σε άλλες τεχνικές προδιαγραφές, συμπεριλαμβανομένης της ημερομηνίας της προδιαγραφής, σε σχέση με τις οποίες δηλώνεται η συμμόρφωση:</w:t>
      </w:r>
    </w:p>
    <w:p w14:paraId="60E9A8C9"/>
    <w:p w14:paraId="60E9A8CA">
      <w:pPr>
        <w:pStyle w:val="9"/>
        <w:numPr>
          <w:ilvl w:val="0"/>
          <w:numId w:val="2"/>
        </w:numPr>
        <w:jc w:val="both"/>
      </w:pPr>
      <w:r>
        <w:rPr>
          <w:b/>
          <w:lang w:bidi="el-GR"/>
        </w:rPr>
        <w:t xml:space="preserve">EN 420:2003+A1:2009  </w:t>
      </w:r>
      <w:r>
        <w:rPr>
          <w:lang w:bidi="el-GR"/>
        </w:rPr>
        <w:t>Προστατευτικά γάντια. Γενικές απαιτήσεις και μέθοδοι δοκιμής</w:t>
      </w:r>
    </w:p>
    <w:p w14:paraId="60E9A8CB">
      <w:pPr>
        <w:pStyle w:val="9"/>
        <w:numPr>
          <w:ilvl w:val="0"/>
          <w:numId w:val="2"/>
        </w:numPr>
        <w:jc w:val="both"/>
      </w:pPr>
      <w:r>
        <w:rPr>
          <w:b/>
          <w:lang w:bidi="el-GR"/>
        </w:rPr>
        <w:t>EN 407:2004</w:t>
      </w:r>
      <w:r>
        <w:rPr>
          <w:color w:val="2F2F2F"/>
          <w:sz w:val="18"/>
          <w:shd w:val="clear" w:color="auto" w:fill="FFFFFF"/>
          <w:lang w:bidi="el-GR"/>
        </w:rPr>
        <w:t xml:space="preserve"> </w:t>
      </w:r>
      <w:r>
        <w:rPr>
          <w:lang w:bidi="el-GR"/>
        </w:rPr>
        <w:t xml:space="preserve"> Προστατευτικά γάντια κατά των θερμικών κινδύνων (θερμότητα ή/και φωτιά)</w:t>
      </w:r>
    </w:p>
    <w:p w14:paraId="60E9A8CC">
      <w:pPr>
        <w:jc w:val="both"/>
        <w:rPr>
          <w:b/>
          <w:color w:val="000000"/>
          <w:shd w:val="clear" w:color="auto" w:fill="FFFFFF"/>
        </w:rPr>
      </w:pPr>
      <w:r>
        <w:rPr>
          <w:lang w:bidi="el-GR"/>
        </w:rPr>
        <w:t xml:space="preserve">7. Κατά περίπτωση, ο κοινοποιημένος οργανισμός </w:t>
      </w:r>
      <w:r>
        <w:rPr>
          <w:shd w:val="clear" w:color="auto" w:fill="FFFFFF"/>
          <w:lang w:bidi="el-GR"/>
        </w:rPr>
        <w:t>……</w:t>
      </w:r>
      <w:r>
        <w:rPr>
          <w:rFonts w:hint="eastAsia"/>
          <w:shd w:val="clear" w:color="auto" w:fill="FFFFFF"/>
          <w:lang w:bidi="en-GB"/>
        </w:rPr>
        <w:t>TÜV SÜD DANMARK ApS</w:t>
      </w:r>
      <w:r>
        <w:rPr>
          <w:shd w:val="clear" w:color="auto" w:fill="FFFFFF"/>
          <w:lang w:bidi="el-GR"/>
        </w:rPr>
        <w:t xml:space="preserve">…. </w:t>
      </w:r>
      <w:r>
        <w:rPr>
          <w:lang w:bidi="el-GR"/>
        </w:rPr>
        <w:t>διενήργησε την εξέταση τύπου ΕΕ (ενότητα Β) και εξέδωσε το πιστοποιητικό εξέτασης τύπου ΕΕ .......</w:t>
      </w:r>
      <w:r>
        <w:rPr>
          <w:rFonts w:hint="eastAsia"/>
          <w:lang w:bidi="en-GB"/>
        </w:rPr>
        <w:t>DK-PPE001644 i01</w:t>
      </w:r>
      <w:r>
        <w:rPr>
          <w:lang w:bidi="el-GR"/>
        </w:rPr>
        <w:t>..........</w:t>
      </w:r>
    </w:p>
    <w:p w14:paraId="60E9A8CD">
      <w:pPr>
        <w:jc w:val="both"/>
      </w:pPr>
      <w:r>
        <w:rPr>
          <w:lang w:bidi="el-GR"/>
        </w:rPr>
        <w:t xml:space="preserve">8. Κατά περίπτωση, τα μέσα ατομικής προστασίας υπόκεινται σε διαδικασία αξιολόγησης της συμμόρφωσης ... (είτε συμμόρφωση προς τον τύπο με βάση τον εσωτερικό έλεγχο της παραγωγής και εποπτευόμενους ελέγχους του προϊόντος σε τυχαία διαστήματα (ενότητα Γ2), είτε συμμόρφωση προς τον τύπο με βάση τη διασφάλιση της ποιότητας της διαδικασίας παραγωγής (ενότητα Δ)). ... υπό την εποπτεία του κοινοποιημένου οργανισμού ... (όνομα, αριθμός): </w:t>
      </w:r>
      <w:r>
        <w:rPr>
          <w:b/>
          <w:shd w:val="clear" w:color="auto" w:fill="FFFFFF"/>
          <w:lang w:bidi="el-GR"/>
        </w:rPr>
        <w:t>δεν ισχύει</w:t>
      </w:r>
    </w:p>
    <w:p w14:paraId="60E9A8CE">
      <w:pPr>
        <w:jc w:val="both"/>
        <w:rPr>
          <w:b/>
          <w:color w:val="000000"/>
          <w:shd w:val="clear" w:color="auto" w:fill="FFFFFF"/>
        </w:rPr>
      </w:pPr>
      <w:r>
        <w:rPr>
          <w:lang w:bidi="el-GR"/>
        </w:rPr>
        <w:t xml:space="preserve">9. Πρόσθετες πληροφορίες: </w:t>
      </w:r>
      <w:r>
        <w:rPr>
          <w:b/>
          <w:shd w:val="clear" w:color="auto" w:fill="FFFFFF"/>
          <w:lang w:bidi="el-GR"/>
        </w:rPr>
        <w:t>δεν ισχύει</w:t>
      </w:r>
    </w:p>
    <w:p w14:paraId="60E9A8CF"/>
    <w:p w14:paraId="60E9A8D2">
      <w:pPr>
        <w:rPr>
          <w:b/>
        </w:rPr>
      </w:pPr>
      <w:r>
        <w:rPr>
          <w:shd w:val="clear" w:color="auto" w:fill="FFFFFF"/>
          <w:lang w:bidi="el-GR"/>
        </w:rPr>
        <w:t>Υπογράφηκε για λογαριασμό και εξ ονόματος:</w:t>
      </w:r>
      <w:r>
        <w:rPr>
          <w:lang w:bidi="el-GR"/>
        </w:rPr>
        <w:t xml:space="preserve"> </w:t>
      </w:r>
      <w:r>
        <w:rPr>
          <w:rFonts w:hint="eastAsia"/>
          <w:lang w:bidi="en-GB"/>
        </w:rPr>
        <w:t>Ningbo General Union Co., LTD.</w:t>
      </w:r>
    </w:p>
    <w:p w14:paraId="60E9A8D3"/>
    <w:p w14:paraId="60E9A8D8">
      <w:pPr>
        <w:rPr>
          <w:lang w:val="it-IT"/>
        </w:rPr>
      </w:pPr>
      <w:r>
        <w:rPr>
          <w:lang w:bidi="el-GR"/>
        </w:rPr>
        <w:t>Ημερομηνία, κατασκευαστής</w:t>
      </w:r>
    </w:p>
    <w:p w14:paraId="7AEFCF24">
      <w:pPr>
        <w:rPr>
          <w:rFonts w:hint="default" w:eastAsia="宋体"/>
          <w:lang w:val="en-US" w:eastAsia="zh-CN"/>
        </w:rPr>
      </w:pPr>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p w14:paraId="48216971">
      <w:pPr>
        <w:rPr>
          <w:lang w:val="it-IT"/>
        </w:rPr>
      </w:pPr>
      <w:bookmarkStart w:id="0" w:name="_GoBack"/>
      <w:bookmarkEnd w:id="0"/>
    </w:p>
    <w:p w14:paraId="60E9A8DA">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FB3D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9A686">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4"/>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214E3">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CCC41">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E1839"/>
    <w:rsid w:val="00165360"/>
    <w:rsid w:val="00184522"/>
    <w:rsid w:val="001947D0"/>
    <w:rsid w:val="001A0AB6"/>
    <w:rsid w:val="001E6EFF"/>
    <w:rsid w:val="001F2D41"/>
    <w:rsid w:val="002523A0"/>
    <w:rsid w:val="00282497"/>
    <w:rsid w:val="002C46A2"/>
    <w:rsid w:val="002C4D02"/>
    <w:rsid w:val="002C5E18"/>
    <w:rsid w:val="002F7AF6"/>
    <w:rsid w:val="00391A23"/>
    <w:rsid w:val="004013F8"/>
    <w:rsid w:val="00415A8B"/>
    <w:rsid w:val="004D764B"/>
    <w:rsid w:val="00515AA4"/>
    <w:rsid w:val="00523069"/>
    <w:rsid w:val="00557B93"/>
    <w:rsid w:val="005C27D8"/>
    <w:rsid w:val="00607786"/>
    <w:rsid w:val="0062305A"/>
    <w:rsid w:val="00636A36"/>
    <w:rsid w:val="006D4E5A"/>
    <w:rsid w:val="0073705D"/>
    <w:rsid w:val="007C4753"/>
    <w:rsid w:val="00817EF6"/>
    <w:rsid w:val="0085749F"/>
    <w:rsid w:val="008F6220"/>
    <w:rsid w:val="00904093"/>
    <w:rsid w:val="00A33FC3"/>
    <w:rsid w:val="00A502D8"/>
    <w:rsid w:val="00A701F4"/>
    <w:rsid w:val="00AF2478"/>
    <w:rsid w:val="00B64158"/>
    <w:rsid w:val="00B91811"/>
    <w:rsid w:val="00C01BBD"/>
    <w:rsid w:val="00C4220D"/>
    <w:rsid w:val="00CA4750"/>
    <w:rsid w:val="00CF6CB3"/>
    <w:rsid w:val="00D23C5D"/>
    <w:rsid w:val="00D2462F"/>
    <w:rsid w:val="00DC71CE"/>
    <w:rsid w:val="00EB444F"/>
    <w:rsid w:val="00EC6189"/>
    <w:rsid w:val="00F0556F"/>
    <w:rsid w:val="00F4484F"/>
    <w:rsid w:val="00FA6BE8"/>
    <w:rsid w:val="00FE7FFA"/>
    <w:rsid w:val="2DCC4D81"/>
    <w:rsid w:val="2E4E18AB"/>
    <w:rsid w:val="3BF032FD"/>
    <w:rsid w:val="3DB70E50"/>
    <w:rsid w:val="44C60B7A"/>
    <w:rsid w:val="4E295BCB"/>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l-GR"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line="240" w:lineRule="auto"/>
    </w:pPr>
    <w:rPr>
      <w:rFonts w:ascii="Tahoma" w:hAnsi="Tahoma" w:cs="Tahoma"/>
      <w:sz w:val="16"/>
      <w:szCs w:val="16"/>
    </w:rPr>
  </w:style>
  <w:style w:type="paragraph" w:styleId="3">
    <w:name w:val="footer"/>
    <w:basedOn w:val="1"/>
    <w:link w:val="8"/>
    <w:unhideWhenUsed/>
    <w:qFormat/>
    <w:uiPriority w:val="99"/>
    <w:pPr>
      <w:tabs>
        <w:tab w:val="center" w:pos="4536"/>
        <w:tab w:val="right" w:pos="9072"/>
      </w:tabs>
      <w:spacing w:after="0" w:line="240" w:lineRule="auto"/>
    </w:pPr>
  </w:style>
  <w:style w:type="paragraph" w:styleId="4">
    <w:name w:val="header"/>
    <w:basedOn w:val="1"/>
    <w:link w:val="7"/>
    <w:unhideWhenUsed/>
    <w:qFormat/>
    <w:uiPriority w:val="99"/>
    <w:pPr>
      <w:tabs>
        <w:tab w:val="center" w:pos="4536"/>
        <w:tab w:val="right" w:pos="9072"/>
      </w:tabs>
      <w:spacing w:after="0" w:line="240" w:lineRule="auto"/>
    </w:pPr>
  </w:style>
  <w:style w:type="character" w:customStyle="1" w:styleId="7">
    <w:name w:val="Nagłówek Znak"/>
    <w:basedOn w:val="6"/>
    <w:link w:val="4"/>
    <w:qFormat/>
    <w:uiPriority w:val="99"/>
  </w:style>
  <w:style w:type="character" w:customStyle="1" w:styleId="8">
    <w:name w:val="Stopka Znak"/>
    <w:basedOn w:val="6"/>
    <w:link w:val="3"/>
    <w:qFormat/>
    <w:uiPriority w:val="99"/>
  </w:style>
  <w:style w:type="paragraph" w:styleId="9">
    <w:name w:val="List Paragraph"/>
    <w:basedOn w:val="1"/>
    <w:qFormat/>
    <w:uiPriority w:val="34"/>
    <w:pPr>
      <w:ind w:left="720"/>
      <w:contextualSpacing/>
    </w:pPr>
  </w:style>
  <w:style w:type="character" w:customStyle="1" w:styleId="10">
    <w:name w:val="Tekst dymka Znak"/>
    <w:basedOn w:val="6"/>
    <w:link w:val="2"/>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249</Words>
  <Characters>1571</Characters>
  <Lines>13</Lines>
  <Paragraphs>3</Paragraphs>
  <TotalTime>0</TotalTime>
  <ScaleCrop>false</ScaleCrop>
  <LinksUpToDate>false</LinksUpToDate>
  <CharactersWithSpaces>1808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2025-11-21T03:19:59Z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